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仿宋_GB2312" w:hAnsi="宋体" w:eastAsia="仿宋_GB2312"/>
          <w:color w:val="000000"/>
          <w:sz w:val="44"/>
          <w:szCs w:val="28"/>
        </w:rPr>
        <w:t>专项(项目)资金支出</w:t>
      </w:r>
      <w:r>
        <w:rPr>
          <w:rFonts w:hint="eastAsia" w:ascii="黑体" w:eastAsia="黑体"/>
          <w:sz w:val="44"/>
          <w:szCs w:val="44"/>
        </w:rPr>
        <w:t>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32"/>
          <w:szCs w:val="32"/>
          <w:lang w:eastAsia="zh-CN"/>
        </w:rPr>
        <w:t>邵阳市民政局</w:t>
      </w:r>
      <w:r>
        <w:rPr>
          <w:rFonts w:hint="eastAsia" w:ascii="楷体" w:hAnsi="楷体" w:eastAsia="楷体" w:cs="楷体"/>
          <w:sz w:val="32"/>
          <w:szCs w:val="32"/>
        </w:rPr>
        <w:t xml:space="preserve">     填报日期：</w:t>
      </w:r>
      <w:r>
        <w:rPr>
          <w:rFonts w:hint="eastAsia" w:ascii="楷体" w:hAnsi="楷体" w:eastAsia="楷体" w:cs="楷体"/>
          <w:sz w:val="32"/>
          <w:szCs w:val="32"/>
          <w:lang w:val="en-US" w:eastAsia="zh-CN"/>
        </w:rPr>
        <w:t>2018</w:t>
      </w:r>
      <w:r>
        <w:rPr>
          <w:rFonts w:hint="eastAsia" w:ascii="楷体" w:hAnsi="楷体" w:eastAsia="楷体" w:cs="楷体"/>
          <w:sz w:val="32"/>
          <w:szCs w:val="32"/>
        </w:rPr>
        <w:t>年</w:t>
      </w:r>
      <w:r>
        <w:rPr>
          <w:rFonts w:hint="eastAsia" w:ascii="楷体" w:hAnsi="楷体" w:eastAsia="楷体" w:cs="楷体"/>
          <w:sz w:val="32"/>
          <w:szCs w:val="32"/>
          <w:lang w:val="en-US" w:eastAsia="zh-CN"/>
        </w:rPr>
        <w:t>3</w:t>
      </w:r>
      <w:r>
        <w:rPr>
          <w:rFonts w:hint="eastAsia" w:ascii="楷体" w:hAnsi="楷体" w:eastAsia="楷体" w:cs="楷体"/>
          <w:sz w:val="32"/>
          <w:szCs w:val="32"/>
        </w:rPr>
        <w:t>月</w:t>
      </w:r>
      <w:r>
        <w:rPr>
          <w:rFonts w:hint="eastAsia" w:ascii="楷体" w:hAnsi="楷体" w:eastAsia="楷体" w:cs="楷体"/>
          <w:sz w:val="32"/>
          <w:szCs w:val="32"/>
          <w:lang w:val="en-US" w:eastAsia="zh-CN"/>
        </w:rPr>
        <w:t>14日</w:t>
      </w:r>
    </w:p>
    <w:tbl>
      <w:tblPr>
        <w:tblStyle w:val="3"/>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trPr>
        <w:tc>
          <w:tcPr>
            <w:tcW w:w="540" w:type="dxa"/>
            <w:vMerge w:val="restart"/>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基本情况</w:t>
            </w: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名称</w:t>
            </w:r>
          </w:p>
        </w:tc>
        <w:tc>
          <w:tcPr>
            <w:tcW w:w="6506" w:type="dxa"/>
            <w:gridSpan w:val="6"/>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lang w:eastAsia="zh-CN"/>
              </w:rPr>
              <w:t>优抚对象医疗救助、大病救助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主要内容</w:t>
            </w:r>
          </w:p>
        </w:tc>
        <w:tc>
          <w:tcPr>
            <w:tcW w:w="6506" w:type="dxa"/>
            <w:gridSpan w:val="6"/>
          </w:tcPr>
          <w:p>
            <w:pPr>
              <w:spacing w:line="540" w:lineRule="exact"/>
              <w:jc w:val="left"/>
              <w:rPr>
                <w:rFonts w:ascii="楷体" w:hAnsi="楷体" w:eastAsia="楷体" w:cs="楷体"/>
                <w:color w:val="auto"/>
                <w:sz w:val="28"/>
                <w:szCs w:val="28"/>
              </w:rPr>
            </w:pPr>
            <w:r>
              <w:rPr>
                <w:rFonts w:hint="eastAsia" w:ascii="仿宋" w:hAnsi="仿宋" w:eastAsia="仿宋" w:cs="仿宋"/>
                <w:color w:val="auto"/>
                <w:sz w:val="24"/>
                <w:szCs w:val="24"/>
                <w:lang w:eastAsia="zh-CN"/>
              </w:rPr>
              <w:t>医疗救助是在政府的主导下，动员社会力量广泛参与的一项面向弱势群体的医疗救助行为。其目的是将一部分生活处于低收入甚至贫困状态的城乡弱势群体纳入医疗保障体系之中，通过实施城乡医疗救助制度，为他们提供最基本的医疗支持，以缓解其因病而无经济能力进行医治造成的困难，防止因病致贫、因病返贫，增强自我保障和生存能力，是一项社会公益性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w:t>
            </w:r>
          </w:p>
        </w:tc>
        <w:tc>
          <w:tcPr>
            <w:tcW w:w="2396" w:type="dxa"/>
            <w:gridSpan w:val="2"/>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lang w:eastAsia="zh-CN"/>
              </w:rPr>
              <w:t>邵阳市民政局</w:t>
            </w:r>
            <w:r>
              <w:rPr>
                <w:rFonts w:hint="eastAsia" w:ascii="楷体" w:hAnsi="楷体" w:eastAsia="楷体" w:cs="楷体"/>
                <w:color w:val="auto"/>
                <w:sz w:val="28"/>
                <w:szCs w:val="28"/>
              </w:rPr>
              <w:t>　　　　　　　　　　　</w:t>
            </w:r>
          </w:p>
        </w:tc>
        <w:tc>
          <w:tcPr>
            <w:tcW w:w="2070"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主管部门</w:t>
            </w:r>
          </w:p>
        </w:tc>
        <w:tc>
          <w:tcPr>
            <w:tcW w:w="2040" w:type="dxa"/>
            <w:gridSpan w:val="2"/>
          </w:tcPr>
          <w:p>
            <w:pPr>
              <w:spacing w:line="54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40" w:lineRule="exact"/>
              <w:jc w:val="center"/>
              <w:rPr>
                <w:rFonts w:ascii="楷体" w:hAnsi="楷体" w:eastAsia="楷体" w:cs="楷体"/>
                <w:color w:val="auto"/>
                <w:sz w:val="28"/>
                <w:szCs w:val="28"/>
              </w:rPr>
            </w:pPr>
            <w:r>
              <w:rPr>
                <w:rFonts w:hint="eastAsia" w:ascii="楷体" w:hAnsi="楷体" w:eastAsia="楷体" w:cs="楷体"/>
                <w:color w:val="auto"/>
                <w:sz w:val="28"/>
                <w:szCs w:val="28"/>
              </w:rPr>
              <w:t>单位负责人</w:t>
            </w:r>
          </w:p>
        </w:tc>
        <w:tc>
          <w:tcPr>
            <w:tcW w:w="2396" w:type="dxa"/>
            <w:gridSpan w:val="2"/>
          </w:tcPr>
          <w:p>
            <w:pPr>
              <w:spacing w:line="54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刘得正</w:t>
            </w:r>
          </w:p>
        </w:tc>
        <w:tc>
          <w:tcPr>
            <w:tcW w:w="2070"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负责人</w:t>
            </w:r>
          </w:p>
        </w:tc>
        <w:tc>
          <w:tcPr>
            <w:tcW w:w="2040" w:type="dxa"/>
            <w:gridSpan w:val="2"/>
          </w:tcPr>
          <w:p>
            <w:pPr>
              <w:spacing w:line="54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属性</w:t>
            </w:r>
          </w:p>
        </w:tc>
        <w:tc>
          <w:tcPr>
            <w:tcW w:w="6506" w:type="dxa"/>
            <w:gridSpan w:val="6"/>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资金总额    及构成</w:t>
            </w:r>
          </w:p>
        </w:tc>
        <w:tc>
          <w:tcPr>
            <w:tcW w:w="6506" w:type="dxa"/>
            <w:gridSpan w:val="6"/>
          </w:tcPr>
          <w:p>
            <w:pPr>
              <w:spacing w:line="440" w:lineRule="exact"/>
              <w:jc w:val="left"/>
              <w:rPr>
                <w:rFonts w:ascii="楷体" w:hAnsi="楷体" w:eastAsia="楷体" w:cs="楷体"/>
                <w:color w:val="auto"/>
                <w:sz w:val="28"/>
                <w:szCs w:val="28"/>
              </w:rPr>
            </w:pPr>
            <w:r>
              <w:rPr>
                <w:rFonts w:hint="eastAsia" w:ascii="楷体" w:hAnsi="楷体" w:eastAsia="楷体" w:cs="楷体"/>
                <w:color w:val="auto"/>
                <w:sz w:val="28"/>
                <w:szCs w:val="28"/>
              </w:rPr>
              <w:t>总额：</w:t>
            </w:r>
            <w:r>
              <w:rPr>
                <w:rFonts w:hint="eastAsia" w:ascii="楷体" w:hAnsi="楷体" w:eastAsia="楷体" w:cs="楷体"/>
                <w:color w:val="auto"/>
                <w:sz w:val="28"/>
                <w:szCs w:val="28"/>
                <w:lang w:val="en-US" w:eastAsia="zh-CN"/>
              </w:rPr>
              <w:t>6.75</w:t>
            </w:r>
            <w:r>
              <w:rPr>
                <w:rFonts w:hint="eastAsia" w:ascii="楷体" w:hAnsi="楷体" w:eastAsia="楷体" w:cs="楷体"/>
                <w:color w:val="auto"/>
                <w:sz w:val="28"/>
                <w:szCs w:val="28"/>
              </w:rPr>
              <w:t>万元，其中：省级财政</w:t>
            </w:r>
            <w:r>
              <w:rPr>
                <w:rFonts w:hint="eastAsia" w:ascii="楷体" w:hAnsi="楷体" w:eastAsia="楷体" w:cs="楷体"/>
                <w:color w:val="auto"/>
                <w:sz w:val="28"/>
                <w:szCs w:val="28"/>
                <w:lang w:val="en-US" w:eastAsia="zh-CN"/>
              </w:rPr>
              <w:t>6.75</w:t>
            </w:r>
            <w:r>
              <w:rPr>
                <w:rFonts w:hint="eastAsia" w:ascii="楷体" w:hAnsi="楷体" w:eastAsia="楷体" w:cs="楷体"/>
                <w:color w:val="auto"/>
                <w:sz w:val="28"/>
                <w:szCs w:val="28"/>
              </w:rPr>
              <w:t>万元；市级财政</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万元；其他　　　万元</w:t>
            </w:r>
          </w:p>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起止时间</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val="en-US" w:eastAsia="zh-CN"/>
              </w:rPr>
              <w:t>2017</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1</w:t>
            </w:r>
            <w:r>
              <w:rPr>
                <w:rFonts w:hint="eastAsia" w:ascii="楷体" w:hAnsi="楷体" w:eastAsia="楷体" w:cs="楷体"/>
                <w:color w:val="auto"/>
                <w:sz w:val="28"/>
                <w:szCs w:val="28"/>
              </w:rPr>
              <w:t>月起至</w:t>
            </w:r>
            <w:r>
              <w:rPr>
                <w:rFonts w:hint="eastAsia" w:ascii="楷体" w:hAnsi="楷体" w:eastAsia="楷体" w:cs="楷体"/>
                <w:color w:val="auto"/>
                <w:sz w:val="28"/>
                <w:szCs w:val="28"/>
                <w:lang w:val="en-US" w:eastAsia="zh-CN"/>
              </w:rPr>
              <w:t>2017</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12</w:t>
            </w:r>
            <w:r>
              <w:rPr>
                <w:rFonts w:hint="eastAsia" w:ascii="楷体" w:hAnsi="楷体" w:eastAsia="楷体" w:cs="楷体"/>
                <w:color w:val="auto"/>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6" w:hRule="exact"/>
        </w:trPr>
        <w:tc>
          <w:tcPr>
            <w:tcW w:w="540" w:type="dxa"/>
            <w:vMerge w:val="restart"/>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实施情况</w:t>
            </w: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立项依据</w:t>
            </w:r>
          </w:p>
        </w:tc>
        <w:tc>
          <w:tcPr>
            <w:tcW w:w="6506" w:type="dxa"/>
            <w:gridSpan w:val="6"/>
          </w:tcPr>
          <w:p>
            <w:pPr>
              <w:spacing w:line="560" w:lineRule="exact"/>
              <w:jc w:val="left"/>
              <w:rPr>
                <w:rFonts w:hint="eastAsia" w:ascii="仿宋" w:hAnsi="仿宋" w:eastAsia="仿宋" w:cs="仿宋"/>
                <w:color w:val="auto"/>
                <w:sz w:val="24"/>
                <w:szCs w:val="24"/>
              </w:rPr>
            </w:pPr>
            <w:r>
              <w:rPr>
                <w:rFonts w:hint="eastAsia" w:ascii="仿宋" w:hAnsi="仿宋" w:eastAsia="仿宋" w:cs="仿宋"/>
                <w:b w:val="0"/>
                <w:i w:val="0"/>
                <w:caps w:val="0"/>
                <w:color w:val="4C4C4C"/>
                <w:spacing w:val="0"/>
                <w:sz w:val="24"/>
                <w:szCs w:val="24"/>
                <w:shd w:val="clear" w:fill="FFFFFF"/>
              </w:rPr>
              <w:t>《湖南省民政厅、湖南省卫生厅、湖南省财政厅关于实施农村医疗救助的意见》（湘民保发〔2004〕3号），《关于调整城乡医疗救助政策完善城乡医疗救助制度的通知》（湘民办发〔2008〕60号），《湖南省农村医疗救助基金管理试行办法》（湘财社〔2004〕37号），《关于进一步提高全省农村重大疾病医疗救治保障水平的意见》（湘卫合医发〔2011〕3号）以及中央、省级有关城乡医疗救助政策规定、财务会计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可行性研究报告结论</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专家评审论证 结论</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是否实施政府采购及金额</w:t>
            </w: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tc>
        <w:tc>
          <w:tcPr>
            <w:tcW w:w="6506" w:type="dxa"/>
            <w:gridSpan w:val="6"/>
          </w:tcPr>
          <w:p>
            <w:pPr>
              <w:spacing w:line="360" w:lineRule="exac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r>
              <w:rPr>
                <w:rFonts w:hint="eastAsia" w:ascii="楷体" w:hAnsi="楷体" w:eastAsia="楷体" w:cs="楷体"/>
                <w:color w:val="auto"/>
                <w:sz w:val="28"/>
                <w:szCs w:val="28"/>
              </w:rPr>
              <w:br w:type="textWrapping"/>
            </w:r>
            <w:r>
              <w:rPr>
                <w:rFonts w:hint="eastAsia" w:ascii="楷体" w:hAnsi="楷体" w:eastAsia="楷体" w:cs="楷体"/>
                <w:color w:val="auto"/>
                <w:sz w:val="28"/>
                <w:szCs w:val="28"/>
              </w:rPr>
              <w:t>应采购金额</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     实际采购金额</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    招投标</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是否实行国库     集中支付</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是否实行资金报账制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40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是否实行工程代理和投资评审制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是否实行合同管理制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p>
          <w:p>
            <w:pPr>
              <w:spacing w:line="56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是否实行财政双控账户管理</w:t>
            </w:r>
          </w:p>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管理</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是否实行财政专户管理</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2" w:hRule="exact"/>
        </w:trPr>
        <w:tc>
          <w:tcPr>
            <w:tcW w:w="540" w:type="dxa"/>
            <w:vMerge w:val="restart"/>
            <w:vAlign w:val="center"/>
          </w:tcPr>
          <w:p>
            <w:pPr>
              <w:spacing w:line="440" w:lineRule="exact"/>
              <w:jc w:val="center"/>
              <w:rPr>
                <w:rFonts w:ascii="楷体" w:hAnsi="楷体" w:eastAsia="楷体" w:cs="楷体"/>
                <w:color w:val="auto"/>
                <w:sz w:val="28"/>
                <w:szCs w:val="28"/>
              </w:rPr>
            </w:pPr>
            <w:r>
              <w:rPr>
                <w:rFonts w:hint="eastAsia" w:ascii="楷体" w:hAnsi="楷体" w:eastAsia="楷体" w:cs="楷体"/>
                <w:color w:val="auto"/>
                <w:sz w:val="28"/>
                <w:szCs w:val="28"/>
              </w:rPr>
              <w:t>管理情况</w:t>
            </w: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管理制度    和办法名称</w:t>
            </w:r>
          </w:p>
        </w:tc>
        <w:tc>
          <w:tcPr>
            <w:tcW w:w="6506" w:type="dxa"/>
            <w:gridSpan w:val="6"/>
          </w:tcPr>
          <w:p>
            <w:pPr>
              <w:spacing w:line="360" w:lineRule="exact"/>
              <w:jc w:val="left"/>
              <w:rPr>
                <w:rFonts w:ascii="楷体" w:hAnsi="楷体" w:eastAsia="楷体" w:cs="楷体"/>
                <w:color w:val="auto"/>
                <w:sz w:val="28"/>
                <w:szCs w:val="28"/>
              </w:rPr>
            </w:pPr>
            <w:r>
              <w:rPr>
                <w:rFonts w:hint="eastAsia" w:ascii="仿宋" w:hAnsi="仿宋" w:eastAsia="仿宋" w:cs="仿宋"/>
                <w:b w:val="0"/>
                <w:i w:val="0"/>
                <w:caps w:val="0"/>
                <w:color w:val="4C4C4C"/>
                <w:spacing w:val="0"/>
                <w:sz w:val="24"/>
                <w:szCs w:val="24"/>
                <w:shd w:val="clear" w:fill="FFFFFF"/>
              </w:rPr>
              <w:t>《湖南省民政厅、湖南省卫生厅、湖南省财政厅关于实施农村医疗救助的意见》（湘民保发〔2004〕3号），《关于调整城乡医疗救助政策完善城乡医疗救助制度的通知》（湘民办发〔2008〕60号），《湖南省农村医疗救助基金管理试行办法》（湘财社〔2004〕37号），《关于进一步提高全省农村重大疾病医疗救治保障水平的意见》（湘卫合医发〔2011〕3号）以及中央、省级有关城乡医疗救助政策规定、财务会计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具体工作措施</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按照有关规定严格审核救助对象，符合救助标准的对象根据其实际情况发放医疗救助金。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专项（项目）调整内容及报批程序和手续</w:t>
            </w:r>
          </w:p>
        </w:tc>
        <w:tc>
          <w:tcPr>
            <w:tcW w:w="6506" w:type="dxa"/>
            <w:gridSpan w:val="6"/>
            <w:vAlign w:val="center"/>
          </w:tcPr>
          <w:p>
            <w:pPr>
              <w:spacing w:line="32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专项（项目）完工验收情况</w:t>
            </w:r>
          </w:p>
        </w:tc>
        <w:tc>
          <w:tcPr>
            <w:tcW w:w="6506" w:type="dxa"/>
            <w:gridSpan w:val="6"/>
            <w:vAlign w:val="center"/>
          </w:tcPr>
          <w:p>
            <w:pP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exact"/>
        </w:trPr>
        <w:tc>
          <w:tcPr>
            <w:tcW w:w="540" w:type="dxa"/>
            <w:vMerge w:val="restart"/>
          </w:tcPr>
          <w:p>
            <w:pPr>
              <w:spacing w:line="0" w:lineRule="atLeast"/>
              <w:rPr>
                <w:rFonts w:ascii="楷体" w:hAnsi="楷体" w:eastAsia="楷体" w:cs="楷体"/>
                <w:color w:val="auto"/>
                <w:sz w:val="28"/>
                <w:szCs w:val="28"/>
              </w:rPr>
            </w:pPr>
            <w:r>
              <w:rPr>
                <w:rFonts w:hint="eastAsia" w:ascii="楷体" w:hAnsi="楷体" w:eastAsia="楷体" w:cs="楷体"/>
                <w:color w:val="auto"/>
                <w:sz w:val="28"/>
                <w:szCs w:val="28"/>
              </w:rPr>
              <w:t>资金管理情况</w:t>
            </w: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资金使用管理</w:t>
            </w:r>
          </w:p>
        </w:tc>
        <w:tc>
          <w:tcPr>
            <w:tcW w:w="6506" w:type="dxa"/>
            <w:gridSpan w:val="6"/>
            <w:vAlign w:val="center"/>
          </w:tcPr>
          <w:p>
            <w:pPr>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没</w:t>
            </w:r>
            <w:r>
              <w:rPr>
                <w:rFonts w:hint="eastAsia" w:ascii="楷体" w:hAnsi="楷体" w:eastAsia="楷体" w:cs="楷体"/>
                <w:color w:val="auto"/>
                <w:sz w:val="28"/>
                <w:szCs w:val="28"/>
              </w:rPr>
              <w:t>有虚列支出、截留挤占挪用、超标准开支、超预算等情况。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财务管理制度</w:t>
            </w:r>
          </w:p>
        </w:tc>
        <w:tc>
          <w:tcPr>
            <w:tcW w:w="6506" w:type="dxa"/>
            <w:gridSpan w:val="6"/>
            <w:vAlign w:val="center"/>
          </w:tcPr>
          <w:p>
            <w:pPr>
              <w:spacing w:line="560" w:lineRule="exact"/>
              <w:rPr>
                <w:rFonts w:hint="eastAsia" w:ascii="楷体" w:hAnsi="楷体" w:eastAsia="楷体" w:cs="楷体"/>
                <w:color w:val="auto"/>
                <w:sz w:val="28"/>
                <w:szCs w:val="28"/>
                <w:lang w:eastAsia="zh-CN"/>
              </w:rPr>
            </w:pPr>
            <w:r>
              <w:rPr>
                <w:rFonts w:hint="eastAsia" w:ascii="楷体" w:hAnsi="楷体" w:eastAsia="楷体" w:cs="楷体"/>
                <w:color w:val="auto"/>
                <w:sz w:val="24"/>
                <w:szCs w:val="24"/>
                <w:lang w:eastAsia="zh-CN"/>
              </w:rPr>
              <w:t>《邵阳市民政局专项资金管理办法》、《湖南省民政专项资金使用管理办法》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jc w:val="center"/>
              <w:rPr>
                <w:rFonts w:ascii="楷体" w:hAnsi="楷体" w:eastAsia="楷体" w:cs="楷体"/>
                <w:color w:val="auto"/>
                <w:sz w:val="28"/>
                <w:szCs w:val="28"/>
              </w:rPr>
            </w:pPr>
            <w:r>
              <w:rPr>
                <w:rFonts w:hint="eastAsia" w:ascii="楷体" w:hAnsi="楷体" w:eastAsia="楷体" w:cs="楷体"/>
                <w:color w:val="auto"/>
                <w:sz w:val="28"/>
                <w:szCs w:val="28"/>
              </w:rPr>
              <w:t>资金安排使用情况</w:t>
            </w: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内容</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应到位资金（万元）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实际到位资金（万元）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实际支出（万元）</w:t>
            </w:r>
          </w:p>
        </w:tc>
        <w:tc>
          <w:tcPr>
            <w:tcW w:w="138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ind w:firstLine="280" w:firstLineChars="100"/>
              <w:rPr>
                <w:rFonts w:ascii="楷体" w:hAnsi="楷体" w:eastAsia="楷体" w:cs="楷体"/>
                <w:color w:val="auto"/>
                <w:sz w:val="28"/>
                <w:szCs w:val="28"/>
              </w:rPr>
            </w:pPr>
            <w:r>
              <w:rPr>
                <w:rFonts w:hint="eastAsia" w:ascii="楷体" w:hAnsi="楷体" w:eastAsia="楷体" w:cs="楷体"/>
                <w:color w:val="auto"/>
                <w:sz w:val="28"/>
                <w:szCs w:val="28"/>
              </w:rPr>
              <w:t>中央财政</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省级财政</w:t>
            </w:r>
          </w:p>
        </w:tc>
        <w:tc>
          <w:tcPr>
            <w:tcW w:w="1796" w:type="dxa"/>
            <w:vAlign w:val="center"/>
          </w:tcPr>
          <w:p>
            <w:pPr>
              <w:jc w:val="center"/>
              <w:rPr>
                <w:rFonts w:hint="eastAsia" w:ascii="楷体" w:hAnsi="楷体" w:eastAsia="楷体" w:cs="楷体"/>
                <w:color w:val="auto"/>
                <w:sz w:val="28"/>
                <w:szCs w:val="28"/>
                <w:lang w:val="en-US" w:eastAsia="zh-CN"/>
              </w:rPr>
            </w:pP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hint="eastAsia" w:ascii="楷体" w:hAnsi="楷体" w:eastAsia="楷体" w:cs="楷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市级财政</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6.75万元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6.75万元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6.75万元</w:t>
            </w:r>
          </w:p>
        </w:tc>
        <w:tc>
          <w:tcPr>
            <w:tcW w:w="1380" w:type="dxa"/>
            <w:vAlign w:val="center"/>
          </w:tcPr>
          <w:p>
            <w:pPr>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其它</w:t>
            </w:r>
          </w:p>
        </w:tc>
        <w:tc>
          <w:tcPr>
            <w:tcW w:w="1796" w:type="dxa"/>
            <w:vAlign w:val="center"/>
          </w:tcPr>
          <w:p>
            <w:pPr>
              <w:jc w:val="center"/>
              <w:rPr>
                <w:rFonts w:ascii="楷体" w:hAnsi="楷体" w:eastAsia="楷体" w:cs="楷体"/>
                <w:color w:val="auto"/>
                <w:sz w:val="28"/>
                <w:szCs w:val="28"/>
              </w:rPr>
            </w:pP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合　　计</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6.75万元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6.75万元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6.75万元</w:t>
            </w:r>
          </w:p>
        </w:tc>
        <w:tc>
          <w:tcPr>
            <w:tcW w:w="138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ascii="楷体" w:hAnsi="楷体" w:eastAsia="楷体" w:cs="楷体"/>
                <w:color w:val="auto"/>
                <w:sz w:val="28"/>
                <w:szCs w:val="28"/>
              </w:rPr>
            </w:pPr>
            <w:r>
              <w:rPr>
                <w:rFonts w:ascii="楷体" w:hAnsi="楷体" w:eastAsia="楷体" w:cs="楷体"/>
                <w:color w:val="auto"/>
                <w:sz w:val="28"/>
                <w:szCs w:val="28"/>
              </w:rPr>
              <w:t>医疗救助以科学发展观为指导，坚持以人为本、执政为民的工作理念，以“广覆盖、保基本、救助重点、多层次、可持续”为指导方针，不断强化政府责任，完善医疗救助制度，着力解决城乡困难群众最关心、最现实、最迫切的基本医疗保障问题，努力实现城乡困难群众“病有所医”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p>
          <w:p>
            <w:pPr>
              <w:spacing w:line="320" w:lineRule="exact"/>
              <w:jc w:val="center"/>
              <w:rPr>
                <w:rFonts w:ascii="楷体" w:hAnsi="楷体" w:eastAsia="楷体" w:cs="楷体"/>
                <w:color w:val="auto"/>
                <w:sz w:val="28"/>
                <w:szCs w:val="28"/>
              </w:rPr>
            </w:pPr>
          </w:p>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一是健全制度，满足困难群众的基本医疗服务需求。二是简化程序，充分发挥医疗救助的便民救急作用。三是加强配合，做好医疗救助与相关基本医疗保障制度的衔接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7"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rPr>
              <w:t>　</w:t>
            </w:r>
            <w:r>
              <w:rPr>
                <w:rFonts w:hint="eastAsia" w:ascii="楷体" w:hAnsi="楷体" w:eastAsia="楷体" w:cs="楷体"/>
                <w:color w:val="auto"/>
                <w:sz w:val="28"/>
                <w:szCs w:val="28"/>
                <w:lang w:eastAsia="zh-CN"/>
              </w:rPr>
              <w:t>问题：救助资金筹集有限。医疗救助资金主要靠省厅的有限下拨，本级政府投入和社会捐赠资金十分有限，所以医疗救助始终只能在低标准、低水平上徘徊，不能全力提高救助水平。</w:t>
            </w:r>
          </w:p>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建议：科学测算资金，制定合理有效的资金收支方案，提高资金使用率，切实提高救助水平。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bookmarkStart w:id="0" w:name="_GoBack"/>
            <w:bookmarkEnd w:id="0"/>
          </w:p>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r>
              <w:rPr>
                <w:rFonts w:hint="eastAsia" w:ascii="楷体" w:hAnsi="楷体" w:eastAsia="楷体" w:cs="楷体"/>
                <w:color w:val="auto"/>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单位负责人（签章）：　　　</w:t>
      </w:r>
    </w:p>
    <w:p>
      <w:pPr>
        <w:spacing w:line="480" w:lineRule="exact"/>
        <w:rPr>
          <w:rFonts w:ascii="楷体" w:hAnsi="楷体" w:eastAsia="楷体" w:cs="楷体"/>
          <w:sz w:val="32"/>
          <w:szCs w:val="32"/>
        </w:rPr>
      </w:pPr>
      <w:r>
        <w:rPr>
          <w:rFonts w:hint="eastAsia" w:ascii="楷体" w:hAnsi="楷体" w:eastAsia="楷体" w:cs="楷体"/>
          <w:sz w:val="32"/>
          <w:szCs w:val="32"/>
        </w:rPr>
        <w:t>专项（项目）负责人（签章）：　　　</w:t>
      </w:r>
    </w:p>
    <w:p>
      <w:pPr>
        <w:spacing w:line="480" w:lineRule="exact"/>
        <w:rPr>
          <w:rFonts w:ascii="楷体" w:hAnsi="楷体" w:eastAsia="楷体" w:cs="楷体"/>
          <w:sz w:val="32"/>
          <w:szCs w:val="32"/>
        </w:rPr>
      </w:pPr>
      <w:r>
        <w:rPr>
          <w:rFonts w:hint="eastAsia" w:ascii="楷体" w:hAnsi="楷体" w:eastAsia="楷体" w:cs="楷体"/>
          <w:sz w:val="32"/>
          <w:szCs w:val="32"/>
        </w:rPr>
        <w:t>评价负责人（签章）：</w:t>
      </w:r>
    </w:p>
    <w:p/>
    <w:sectPr>
      <w:pgSz w:w="11906" w:h="16838"/>
      <w:pgMar w:top="1440" w:right="1800" w:bottom="873"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A25DC"/>
    <w:rsid w:val="095408EE"/>
    <w:rsid w:val="09695A7D"/>
    <w:rsid w:val="09C80F59"/>
    <w:rsid w:val="0BE2399E"/>
    <w:rsid w:val="0C9D23DA"/>
    <w:rsid w:val="0CDA2847"/>
    <w:rsid w:val="0E383106"/>
    <w:rsid w:val="0F49629C"/>
    <w:rsid w:val="10D72E78"/>
    <w:rsid w:val="141B1898"/>
    <w:rsid w:val="17F20C5F"/>
    <w:rsid w:val="1B3541EF"/>
    <w:rsid w:val="1EC42FA1"/>
    <w:rsid w:val="265F4D97"/>
    <w:rsid w:val="26E57632"/>
    <w:rsid w:val="272E04B9"/>
    <w:rsid w:val="276F1929"/>
    <w:rsid w:val="2C0D7E2B"/>
    <w:rsid w:val="30343BA3"/>
    <w:rsid w:val="39BC63FA"/>
    <w:rsid w:val="3C5913BE"/>
    <w:rsid w:val="3CAA0191"/>
    <w:rsid w:val="3EE50F9A"/>
    <w:rsid w:val="41423D75"/>
    <w:rsid w:val="42EB4AF0"/>
    <w:rsid w:val="4F364B64"/>
    <w:rsid w:val="4F8C2C7C"/>
    <w:rsid w:val="637C3C4B"/>
    <w:rsid w:val="64B818B6"/>
    <w:rsid w:val="652D413F"/>
    <w:rsid w:val="65730F0C"/>
    <w:rsid w:val="679628F7"/>
    <w:rsid w:val="694220CD"/>
    <w:rsid w:val="6F836072"/>
    <w:rsid w:val="7E370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2018-03-15T01:18:23Z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